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učitelj/ica biologije i prirode</w:t>
      </w:r>
      <w:r>
        <w:rPr>
          <w:b/>
        </w:rPr>
        <w:t xml:space="preserve"> 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</w:t>
      </w:r>
      <w:r>
        <w:rPr>
          <w:b/>
        </w:rPr>
        <w:t xml:space="preserve">ne</w:t>
      </w:r>
      <w:r>
        <w:rPr>
          <w:b/>
        </w:rPr>
        <w:t xml:space="preserve">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26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</w:t>
            </w:r>
          </w:p>
          <w:p>
            <w:pPr>
              <w:shd w:val="clear" w:color="auto" w:fill="FFFFFF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Povjerenstvo za procjenu odnosno testiranje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t xml:space="preserve"> i vrednovanje kandidata za zapošljavanje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KLASA: </w:t>
            </w:r>
            <w:r>
              <w:rPr>
                <w:noProof/>
                <w:lang w:val="en-US" w:eastAsia="en-US"/>
              </w:rPr>
              <w:t xml:space="preserve">112-02/26-01/1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Split, </w:t>
            </w:r>
            <w:r>
              <w:rPr>
                <w:rFonts w:eastAsiaTheme="minorHAnsi"/>
                <w:sz w:val="22"/>
                <w:lang w:eastAsia="en-US"/>
              </w:rPr>
              <w:t xml:space="preserve">1</w:t>
            </w:r>
            <w:r>
              <w:rPr>
                <w:rFonts w:eastAsiaTheme="minorHAnsi"/>
                <w:sz w:val="22"/>
                <w:lang w:eastAsia="en-US"/>
              </w:rPr>
              <w:t xml:space="preserve">4.1.2026.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</w:t>
      </w:r>
      <w:r>
        <w:rPr>
          <w:color w:val="000000"/>
        </w:rPr>
        <w:t xml:space="preserve"> </w:t>
      </w:r>
      <w:r>
        <w:rPr>
          <w:color w:val="000000"/>
        </w:rPr>
        <w:t xml:space="preserve">učitelj</w:t>
      </w:r>
      <w:r>
        <w:rPr>
          <w:b/>
          <w:color w:val="000000"/>
        </w:rPr>
        <w:t xml:space="preserve">/ica</w:t>
      </w:r>
      <w:r>
        <w:rPr>
          <w:b/>
          <w:color w:val="000000"/>
        </w:rPr>
        <w:t xml:space="preserve"> biologije i prirode</w:t>
      </w:r>
      <w:r>
        <w:rPr>
          <w:b/>
        </w:rPr>
        <w:t xml:space="preserve">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</w:t>
      </w:r>
      <w:r>
        <w:rPr>
          <w:b/>
        </w:rPr>
        <w:t xml:space="preserve">ne</w:t>
      </w:r>
      <w:r>
        <w:rPr>
          <w:b/>
        </w:rPr>
        <w:t xml:space="preserve">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</w:t>
      </w:r>
      <w:r>
        <w:rPr>
          <w:color w:val="000000"/>
        </w:rPr>
        <w:t xml:space="preserve"> </w:t>
      </w:r>
      <w:r>
        <w:rPr>
          <w:color w:val="000000"/>
        </w:rPr>
        <w:t xml:space="preserve">26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>
          <w:color w:val="000000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</w:t>
      </w:r>
      <w:r>
        <w:rPr>
          <w:rFonts w:eastAsiaTheme="minorHAnsi"/>
          <w:lang w:eastAsia="en-US"/>
        </w:rPr>
        <w:t xml:space="preserve">učitelj</w:t>
      </w:r>
      <w:r>
        <w:rPr>
          <w:rFonts w:eastAsiaTheme="minorHAnsi"/>
          <w:lang w:eastAsia="en-US"/>
        </w:rPr>
        <w:t xml:space="preserve">/ica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biologije i prirode</w:t>
      </w:r>
      <w:r>
        <w:rPr>
          <w:rFonts w:eastAsiaTheme="minorHAnsi"/>
          <w:lang w:eastAsia="en-US"/>
        </w:rPr>
        <w:t xml:space="preserve"> provest će se iz područja poznavanja i primjene propisa koji se odnose na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djelatnost osnovnog obrazovanja </w:t>
      </w:r>
      <w:r>
        <w:rPr>
          <w:rFonts w:eastAsiaTheme="minorHAnsi"/>
          <w:lang w:eastAsia="en-US"/>
        </w:rPr>
        <w:t xml:space="preserve"> i</w:t>
      </w:r>
      <w:r>
        <w:rPr>
          <w:rFonts w:eastAsiaTheme="minorHAnsi"/>
          <w:lang w:eastAsia="en-US"/>
        </w:rPr>
        <w:t xml:space="preserve"> to iz sljedećih pravnih izvora:</w:t>
      </w:r>
    </w:p>
    <w:p>
      <w:pPr>
        <w:pStyle w:val="ListParagraph"/>
        <w:numPr>
          <w:ilvl w:val="0"/>
          <w:numId w:val="2"/>
        </w:numPr>
        <w:spacing w:line="252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 o odgoju i obrazovanju u osnovnoj i srednjoj školi </w:t>
      </w:r>
      <w:bookmarkStart w:id="3" w:name="_Hlk126312558"/>
      <w:r>
        <w:rPr>
          <w:rFonts w:ascii="Times New Roman" w:hAnsi="Times New Roman" w:cs="Times New Roman"/>
          <w:b/>
          <w:sz w:val="24"/>
          <w:szCs w:val="24"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Odluka o donošenju kurikuluma za nastavni predmet  Biologija za osnovne škole  i gimnazije u Republici Hrvatskoj (Narodne novine br. 7/19.)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Odluka o donošenju kurikuluma za nastavni predmet  Priroda za osnovne škole   u Republici Hrvatskoj (Narodne novine br. 7/19.)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</w:t>
      </w:r>
      <w:r>
        <w:rPr>
          <w:b/>
          <w:bCs/>
        </w:rPr>
        <w:t xml:space="preserve">20</w:t>
      </w:r>
      <w:r>
        <w:rPr>
          <w:b/>
          <w:bCs/>
        </w:rPr>
        <w:t xml:space="preserve">.</w:t>
      </w:r>
      <w:r>
        <w:rPr>
          <w:b/>
          <w:bCs/>
        </w:rPr>
        <w:t xml:space="preserve">1.2026. </w:t>
      </w:r>
      <w:r>
        <w:rPr>
          <w:b/>
          <w:bCs/>
        </w:rPr>
        <w:t xml:space="preserve"> godine (</w:t>
      </w:r>
      <w:r>
        <w:rPr>
          <w:b/>
          <w:bCs/>
        </w:rPr>
        <w:t xml:space="preserve">utorak</w:t>
      </w:r>
      <w:r>
        <w:rPr>
          <w:b/>
          <w:bCs/>
        </w:rPr>
        <w:t xml:space="preserve">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Mertojak-Split, Doverska 44, u </w:t>
      </w:r>
      <w:r>
        <w:rPr>
          <w:b/>
          <w:bCs/>
        </w:rPr>
        <w:t xml:space="preserve">1</w:t>
      </w:r>
      <w:r>
        <w:rPr>
          <w:b/>
          <w:bCs/>
        </w:rPr>
        <w:t xml:space="preserve">3,15</w:t>
      </w:r>
      <w:r>
        <w:rPr>
          <w:b/>
          <w:bCs/>
        </w:rPr>
        <w:t xml:space="preserve"> </w:t>
      </w:r>
      <w:r>
        <w:rPr>
          <w:b/>
          <w:bCs/>
        </w:rPr>
        <w:t xml:space="preserve">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</w:t>
      </w:r>
      <w:r>
        <w:rPr>
          <w:color w:val="000000"/>
        </w:rPr>
        <w:t xml:space="preserve">14</w:t>
      </w:r>
      <w:r>
        <w:rPr/>
        <w:t xml:space="preserve">.</w:t>
      </w:r>
      <w:r>
        <w:rPr/>
        <w:t xml:space="preserve">1.2026.</w:t>
      </w:r>
      <w:bookmarkStart w:id="4" w:name="_GoBack"/>
      <w:bookmarkEnd w:id="4"/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927" w:hanging="360"/>
      </w:pPr>
      <w:rPr/>
    </w:lvl>
    <w:lvl w:ilvl="1">
      <w:start w:val="1"/>
      <w:numFmt w:val="lowerLetter"/>
      <w:suff w:val="tab"/>
      <w:lvlText w:val="%2."/>
      <w:pPr>
        <w:spacing/>
        <w:ind w:left="164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7" w:hanging="180"/>
      </w:pPr>
      <w:rPr/>
    </w:lvl>
    <w:lvl w:ilvl="3">
      <w:start w:val="1"/>
      <w:numFmt w:val="decimal"/>
      <w:suff w:val="tab"/>
      <w:lvlText w:val="%4."/>
      <w:pPr>
        <w:spacing/>
        <w:ind w:left="3087" w:hanging="360"/>
      </w:pPr>
      <w:rPr/>
    </w:lvl>
    <w:lvl w:ilvl="4">
      <w:start w:val="1"/>
      <w:numFmt w:val="lowerLetter"/>
      <w:suff w:val="tab"/>
      <w:lvlText w:val="%5."/>
      <w:pPr>
        <w:spacing/>
        <w:ind w:left="380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7" w:hanging="180"/>
      </w:pPr>
      <w:rPr/>
    </w:lvl>
    <w:lvl w:ilvl="6">
      <w:start w:val="1"/>
      <w:numFmt w:val="decimal"/>
      <w:suff w:val="tab"/>
      <w:lvlText w:val="%7."/>
      <w:pPr>
        <w:spacing/>
        <w:ind w:left="5247" w:hanging="360"/>
      </w:pPr>
      <w:rPr/>
    </w:lvl>
    <w:lvl w:ilvl="7">
      <w:start w:val="1"/>
      <w:numFmt w:val="lowerLetter"/>
      <w:suff w:val="tab"/>
      <w:lvlText w:val="%8."/>
      <w:pPr>
        <w:spacing/>
        <w:ind w:left="596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7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868</Words>
  <Characters>4949</Characters>
  <Application>Microsoft Office Word</Application>
  <DocSecurity>0</DocSecurity>
  <Lines>41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2026-01-14T08:45:00Z</dcterms:created>
  <dcterms:modified xsi:type="dcterms:W3CDTF">2026-01-14T08:45:00Z</dcterms:modified>
</cp:coreProperties>
</file>