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6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</w:t>
      </w: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6" w:lineRule="auto"/>
              <w:ind w:left="0" w:firstLine="0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bookmarkStart w:id="2" w:name="_Hlk128748807"/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 w:eastAsia="en-US"/>
              </w:rPr>
              <w:t xml:space="preserve">112-01/25-01/2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eastAsiaTheme="minorHAnsi" w:cs="Times New Roman"/>
                <w:noProof/>
                <w:color w:val="auto"/>
                <w:sz w:val="22"/>
                <w:lang w:eastAsia="en-US"/>
              </w:rPr>
              <w:t xml:space="preserve">2181-1-285-01-25-1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Split, 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1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7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.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9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.202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5</w:t>
            </w:r>
            <w:r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  <w:t xml:space="preserve">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ind w:left="0" w:firstLine="0"/>
              <w:jc w:val="right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/>
        <w:rPr/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temelju članka 107. Zakona o odgoju i obrazovanju u osnovnoj i srednjoj školi (Narodne novine, broj: 87/08., 86/09., 92/10., 105/10.-ispr, 90/11.,5/12., 16/12., 86/12., 94/13., 136/14.-RUSRH, 152/14., 7/17., 68/18., 98/19, 64/20, 151/22 i 156/23), odredbama  Zakona o osobnoj asistenciji (Narodne novine broj: 71/23) i odredbama Pravilnika o pomoćnicima u nastavi i stručnim komunikacijskim posrednicima (Narodne novine broj: 85/24) Osnovna škola Mertojak objavljuje: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NATJEČAJ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 radno mjesto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</w:p>
    <w:p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Pomoćnik u nastavi za učenike s teškoćama na određeno nepuno radno vrijeme za 2</w:t>
      </w:r>
      <w:r>
        <w:rPr>
          <w:rFonts w:asciiTheme="minorHAnsi" w:hAnsiTheme="minorHAnsi" w:cstheme="minorHAnsi"/>
          <w:sz w:val="22"/>
        </w:rPr>
        <w:t xml:space="preserve">2</w:t>
      </w:r>
      <w:r>
        <w:rPr>
          <w:rFonts w:asciiTheme="minorHAnsi" w:hAnsiTheme="minorHAnsi" w:cstheme="minorHAnsi"/>
          <w:sz w:val="22"/>
        </w:rPr>
        <w:t xml:space="preserve"> sat</w:t>
      </w:r>
      <w:r>
        <w:rPr>
          <w:rFonts w:asciiTheme="minorHAnsi" w:hAnsiTheme="minorHAnsi" w:cstheme="minorHAnsi"/>
          <w:sz w:val="22"/>
        </w:rPr>
        <w:t xml:space="preserve">a</w:t>
      </w:r>
      <w:r>
        <w:rPr>
          <w:rFonts w:asciiTheme="minorHAnsi" w:hAnsiTheme="minorHAnsi" w:cstheme="minorHAnsi"/>
          <w:sz w:val="22"/>
        </w:rPr>
        <w:t xml:space="preserve"> tjedno (2</w:t>
      </w:r>
      <w:r>
        <w:rPr>
          <w:rFonts w:asciiTheme="minorHAnsi" w:hAnsiTheme="minorHAnsi" w:cstheme="minorHAnsi"/>
          <w:sz w:val="22"/>
        </w:rPr>
        <w:t xml:space="preserve">2</w:t>
      </w:r>
      <w:r>
        <w:rPr>
          <w:rFonts w:asciiTheme="minorHAnsi" w:hAnsiTheme="minorHAnsi" w:cstheme="minorHAnsi"/>
          <w:sz w:val="22"/>
        </w:rPr>
        <w:t xml:space="preserve">/40), </w:t>
      </w:r>
      <w:r>
        <w:rPr>
          <w:rFonts w:asciiTheme="minorHAnsi" w:hAnsiTheme="minorHAnsi" w:cstheme="minorHAnsi"/>
          <w:sz w:val="22"/>
        </w:rPr>
        <w:t xml:space="preserve">4</w:t>
      </w:r>
      <w:r>
        <w:rPr>
          <w:rFonts w:asciiTheme="minorHAnsi" w:hAnsiTheme="minorHAnsi" w:cstheme="minorHAnsi"/>
          <w:sz w:val="22"/>
        </w:rPr>
        <w:t xml:space="preserve"> izvršitelja (m/ž)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UVJETI: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Kandidat za pomoćnika u nastavi mora biti punoljetna zdravstveno sposobna osoba koja ima završen program obrazovanja odraslih (osposobljavanja) za pomoćnika u nastavi i završeno minimalno četverogodišnje srednjoškolsko obrazovanje (razina 4.2 HKO-a).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Iznimno kandidat za pomoćnika u nastavi može biti osoba koja ne ispunjava uvjet završenog četverogodišnjeg srednjoškolskog obrazovanja (razina 4.2 HKO-a),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414145"/>
          <w:sz w:val="22"/>
        </w:rPr>
        <w:t xml:space="preserve">.</w:t>
      </w:r>
      <w:r>
        <w:rPr>
          <w:rFonts w:asciiTheme="minorHAnsi" w:hAnsiTheme="minorHAnsi" w:cstheme="minorHAnsi"/>
          <w:color w:val="auto"/>
          <w:sz w:val="22"/>
        </w:rPr>
        <w:t xml:space="preserve">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U svrhu utvrđivanja zdravstvene sposobnosti za obavljanje poslova pomoćnika u nastavi izabrani kandidat bit će upućen na liječnički pregled u ustanovu medicine rada radi dobivanja uvjerenja o zdravstvenoj sposobnosti.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Za angažiranje pomoćnika u nastavi ne smiju postojati zapreke iz članka 106. </w:t>
      </w:r>
      <w:r>
        <w:rPr>
          <w:rFonts w:asciiTheme="minorHAnsi" w:hAnsiTheme="minorHAnsi" w:cstheme="minorHAnsi"/>
          <w:sz w:val="22"/>
        </w:rPr>
        <w:t xml:space="preserve">Zakona o odgoju i obrazovanju u osnovnoj i srednjoj školi (Narodne novine, broj: 87/08., 86/09., 92/10., 105/10.-ispr, 90/11.,5/12., 16/12., 86/12., 94/13., 136/14.-RUSRH, 152/14., 7/17., 68/18., 98/19, 64/20, 151/22 i 156/23) i članka 23. Zakona o osobnoj asistenciji (Narodne novine broj: 71/23).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Natječaj se raspisuje za izbor pomoćnika u nastavi za učenike s teškoćama</w:t>
      </w:r>
      <w:r>
        <w:rPr>
          <w:rFonts w:asciiTheme="minorHAnsi" w:hAnsiTheme="minorHAnsi" w:cstheme="minorHAnsi"/>
          <w:color w:val="FF0000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na određeno vrijeme do završetka školske godine 202</w:t>
      </w:r>
      <w:r>
        <w:rPr>
          <w:rFonts w:asciiTheme="minorHAnsi" w:hAnsiTheme="minorHAnsi" w:cstheme="minorHAnsi"/>
          <w:sz w:val="22"/>
        </w:rPr>
        <w:t xml:space="preserve">5</w:t>
      </w:r>
      <w:r>
        <w:rPr>
          <w:rFonts w:asciiTheme="minorHAnsi" w:hAnsiTheme="minorHAnsi" w:cstheme="minorHAnsi"/>
          <w:sz w:val="22"/>
        </w:rPr>
        <w:t xml:space="preserve">./202</w:t>
      </w:r>
      <w:r>
        <w:rPr>
          <w:rFonts w:asciiTheme="minorHAnsi" w:hAnsiTheme="minorHAnsi" w:cstheme="minorHAnsi"/>
          <w:sz w:val="22"/>
        </w:rPr>
        <w:t xml:space="preserve">6</w:t>
      </w:r>
      <w:r>
        <w:rPr>
          <w:rFonts w:asciiTheme="minorHAnsi" w:hAnsiTheme="minorHAnsi" w:cstheme="minorHAnsi"/>
          <w:sz w:val="22"/>
        </w:rPr>
        <w:t xml:space="preserve">. odnosno do 31. kolovoza 202</w:t>
      </w:r>
      <w:r>
        <w:rPr>
          <w:rFonts w:asciiTheme="minorHAnsi" w:hAnsiTheme="minorHAnsi" w:cstheme="minorHAnsi"/>
          <w:sz w:val="22"/>
        </w:rPr>
        <w:t xml:space="preserve">6</w:t>
      </w:r>
      <w:r>
        <w:rPr>
          <w:rFonts w:asciiTheme="minorHAnsi" w:hAnsiTheme="minorHAnsi" w:cstheme="minorHAnsi"/>
          <w:sz w:val="22"/>
        </w:rPr>
        <w:t xml:space="preserve">. - temeljem Projektnog prijedloga Grada Splita „S pomoćnikom mogu bolje VII“, u sklopu poziva na dostavu projektnih prijedloga „Osiguravanje pomoćnika u nastavi i stručnih komunikacijskih posrednika učenicima s teškoćama u </w:t>
      </w:r>
      <w:r>
        <w:rPr>
          <w:rFonts w:asciiTheme="minorHAnsi" w:hAnsiTheme="minorHAnsi" w:cstheme="minorHAnsi"/>
          <w:sz w:val="22"/>
        </w:rPr>
        <w:t xml:space="preserve">razvoju u osnovnoškolskim i srednjoškolskim odgojno-obrazovnim ustanovama, faza VII, SF 2. 4. 06. 06''.</w:t>
      </w:r>
      <w:bookmarkStart w:id="3" w:name="_GoBack"/>
      <w:bookmarkEnd w:id="3"/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Izrazi koji se u ovom natječaju koriste za osobe u muškom rodu su neutralni i odnose se na muške i na ženske osobe.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U vlastoručno potpisanoj prijavi na natječaj potrebno je navesti: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osobne podatke: ime i prezime, adresu stanovanja, broj telefona/mobitela, e-mail adresu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radnog mjesta na koje se kandidat prijavljuje.</w:t>
      </w:r>
    </w:p>
    <w:p>
      <w:pPr>
        <w:pStyle w:val="NoSpacing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NoSpacing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Uz prijavu  na natječaj potrebno je priložiti: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životopis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</w:rPr>
        <w:t xml:space="preserve">dokaz o državljanstvu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kazneni postupak glede zapreka za zasnivanje radnog odnosa iz članka 106. Zakona o odgoju i obrazovanju u osnovnoj i srednjoj školi i članka 23. stavka 1. točke 4. Zakona o osobnoj asistenciji, s naznakom roka izdavanja ne starije od mjesec dana na dan raspisivanja natječaja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 prekršajni postupak za prekršaj iz članka 23. stavka 1. točke 3. Zakona o osobnoj asistenciji, s naznakom roka izdavanja ne starije od mjesec dana na dan raspisivanja natječaja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dokaz o vrsti i razini obrazovanja </w:t>
      </w:r>
    </w:p>
    <w:p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dokaz </w:t>
      </w:r>
      <w:r>
        <w:rPr>
          <w:rFonts w:cstheme="minorHAnsi"/>
        </w:rPr>
        <w:t xml:space="preserve">o završenom programu obrazovanja odraslih (osposobljavanja) za pomoćnika u nastavi </w:t>
      </w:r>
    </w:p>
    <w:p>
      <w:pPr>
        <w:pStyle w:val="ListParagraph"/>
        <w:spacing w:after="200" w:line="276" w:lineRule="auto"/>
        <w:jc w:val="both"/>
        <w:rPr>
          <w:rFonts w:cstheme="minorHAnsi"/>
        </w:rPr>
      </w:pPr>
    </w:p>
    <w:p>
      <w:pPr>
        <w:pStyle w:val="ListParagraph"/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Navedene isprave odnosno prilozi dostavljaju se u neovjerenoj preslici. 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ostvaruje pravo prednosti pri zapošljavanju na temelju članka 102. stavaka 1.-3. Zakona o hrvatskim braniteljima iz Domovinskog rata i članovima njihovih obitelji (Narodne novine, broj: 121/17., 98/19., 84/21. i 156/23),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jc w:val="both"/>
        <w:rPr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yperlink"/>
          <w:sz w:val="22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yperlink"/>
          <w:rFonts w:ascii="Arial" w:hAnsi="Arial" w:cs="Arial"/>
          <w:sz w:val="22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pStyle w:val="NoSpacing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 xml:space="preserve">privolu za obradu osobnih podataka navedenih u svim dostavljenim prilozima odnosno ispravama za potrebe provedbe javnog natječaja i projekta ''S pomoćnikom mogu bolje VII''</w:t>
      </w:r>
      <w:r>
        <w:rPr>
          <w:rFonts w:asciiTheme="minorHAnsi" w:hAnsiTheme="minorHAnsi" w:cstheme="minorHAnsi"/>
        </w:rPr>
        <w:t xml:space="preserve"> sukladno važećim propisima o zaštiti osobnih podataka.</w:t>
      </w:r>
    </w:p>
    <w:p>
      <w:pPr>
        <w:pStyle w:val="NoSpacing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  <w:r>
        <w:rPr>
          <w:rFonts w:asciiTheme="minorHAnsi" w:hAnsiTheme="minorHAnsi" w:eastAsia="Calibri" w:cstheme="minorHAnsi"/>
          <w:color w:val="auto"/>
          <w:sz w:val="22"/>
          <w:szCs w:val="22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Nepotpune i nepravodobne prijave neće se razmatrati.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Vlastoručno potpisane prijave na natječaj dostavljaju se neposredno ili poštom na adresu: Osnovna škole Mertojak, Doverska 44, 21000 Split s naznakom ˝za natječaj-</w:t>
      </w:r>
      <w:r>
        <w:rPr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pomoćnik u nastavi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2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2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/40''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NoSpacing"/>
        <w:spacing/>
        <w:jc w:val="both"/>
        <w:rPr>
          <w:rFonts w:asciiTheme="minorHAnsi" w:hAnsiTheme="minorHAnsi" w:eastAsiaTheme="minorHAnsi" w:cstheme="minorBidi"/>
        </w:rPr>
      </w:pPr>
      <w:r>
        <w:rPr>
          <w:rFonts w:asciiTheme="minorHAnsi" w:hAnsiTheme="minorHAnsi" w:cstheme="minorHAnsi"/>
        </w:rPr>
        <w:t xml:space="preserve">Kandidat prijavljen na natječaj o rezultatima natječaja bit će obaviješten putem mrežne stranice Škole, poveznica::</w:t>
      </w:r>
      <w:r>
        <w:rPr/>
        <w:t xml:space="preserve"> </w:t>
      </w:r>
      <w:r>
        <w:rPr/>
        <w:fldChar w:fldCharType="begin"/>
      </w:r>
      <w:r>
        <w:rPr/>
        <w:instrText xml:space="preserve">HYPERLINK "http://os-mertojak-st.skole.hr/natje_aji_za_zapo_ljavanje"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http://os-mertojak-st.skole.hr/natje_aji_za_zapo_ljavanje</w:t>
      </w:r>
      <w:r>
        <w:rPr/>
        <w:fldChar w:fldCharType="end"/>
      </w:r>
      <w:r>
        <w:rPr>
          <w:rFonts w:asciiTheme="minorHAnsi" w:hAnsiTheme="minorHAnsi" w:eastAsiaTheme="minorHAnsi" w:cstheme="minorBidi"/>
        </w:rPr>
        <w:t xml:space="preserve"> 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najkasnije u roku od petnaest dana od dana sklapanja ugovora o radu s odabranim kandidatom.</w:t>
      </w:r>
    </w:p>
    <w:p>
      <w:pPr>
        <w: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</w:t>
      </w:r>
    </w:p>
    <w:p>
      <w:pPr>
        <w:spacing/>
        <w:jc w:val="right"/>
        <w:rPr>
          <w:rFonts w:asciiTheme="minorHAnsi" w:hAnsiTheme="minorHAnsi" w:cstheme="minorHAnsi"/>
          <w:sz w:val="22"/>
        </w:rPr>
      </w:pPr>
    </w:p>
    <w:p>
      <w:pPr>
        <w:spacing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Ravnateljica</w:t>
      </w:r>
    </w:p>
    <w:p>
      <w:pPr>
        <w:spacing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 xml:space="preserve">                                       Ines Budić</w:t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</w:p>
    <w:p>
      <w:pPr>
        <w:pStyle w:val="Default"/>
        <w:spacing/>
        <w:jc w:val="center"/>
        <w:rPr>
          <w:rFonts w:eastAsiaTheme="minorHAnsi"/>
          <w:sz w:val="22"/>
        </w:rPr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53CC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68141F1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211" w:line="266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character" w:styleId="NoSpacingChar" w:customStyle="1">
    <w:name w:val="No Spacing Char"/>
    <w:basedOn w:val="DefaultParagraphFont"/>
    <w:link w:val="NoSpacing"/>
    <w:uiPriority w:val="1"/>
    <w:rPr>
      <w:rFonts w:ascii="Calibri" w:hAnsi="Calibri" w:eastAsia="Calibri" w:cs="Times New Roman"/>
    </w:rPr>
  </w:style>
  <w:style w:type="paragraph" w:styleId="NoSpacing" w:customStyle="1">
    <w:name w:val="No Spacing"/>
    <w:link w:val="NoSpacing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pPr>
      <w:spacing w:after="160" w:line="256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paragraph" w:styleId="Default" w:customStyle="1">
    <w:name w:val="Default"/>
    <w:pPr>
      <w:suppressAutoHyphens/>
      <w:autoSpaceDN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47</TotalTime>
  <Pages>1</Pages>
  <Words>1376</Words>
  <Characters>7847</Characters>
  <Application>Microsoft Office Word</Application>
  <DocSecurity>0</DocSecurity>
  <Lines>65</Lines>
  <Paragraphs>18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lastPrinted>2025-08-28T09:12:00Z</cp:lastPrinted>
  <cp:revision>9</cp:revision>
  <dcterms:created xsi:type="dcterms:W3CDTF">2024-10-03T11:48:00Z</dcterms:created>
  <dcterms:modified xsi:type="dcterms:W3CDTF">2025-09-17T07:19:00Z</dcterms:modified>
</cp:coreProperties>
</file>